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4D32" w14:textId="77777777" w:rsidR="00A106F5" w:rsidRPr="00A106F5" w:rsidRDefault="00A106F5" w:rsidP="00A106F5">
      <w:pPr>
        <w:spacing w:after="100" w:afterAutospacing="1" w:line="240" w:lineRule="auto"/>
        <w:outlineLvl w:val="0"/>
        <w:rPr>
          <w:rFonts w:ascii="IBM Plex Sans" w:eastAsia="Times New Roman" w:hAnsi="IBM Plex Sans" w:cs="Times New Roman"/>
          <w:b/>
          <w:bCs/>
          <w:color w:val="212529"/>
          <w:spacing w:val="-15"/>
          <w:kern w:val="36"/>
          <w:sz w:val="38"/>
          <w:szCs w:val="38"/>
          <w:lang w:val="bg-BG" w:eastAsia="bg-BG"/>
        </w:rPr>
      </w:pPr>
      <w:r w:rsidRPr="00A106F5">
        <w:rPr>
          <w:rFonts w:ascii="IBM Plex Sans" w:eastAsia="Times New Roman" w:hAnsi="IBM Plex Sans" w:cs="Times New Roman"/>
          <w:b/>
          <w:bCs/>
          <w:color w:val="212529"/>
          <w:spacing w:val="-15"/>
          <w:kern w:val="36"/>
          <w:sz w:val="38"/>
          <w:szCs w:val="38"/>
          <w:lang w:val="bg-BG" w:eastAsia="bg-BG"/>
        </w:rPr>
        <w:t>ПИСМО № 24-34-90 от 29. 09. 2014 г. относно прилагане на § 1, т. 34 от ДР на Закона за корпоративното подоходно облагане (ЗКПО)</w:t>
      </w:r>
    </w:p>
    <w:p w14:paraId="3CCE3761" w14:textId="77777777" w:rsidR="00A106F5" w:rsidRPr="00A106F5" w:rsidRDefault="00A106F5" w:rsidP="00A106F5">
      <w:pPr>
        <w:spacing w:after="225" w:line="240" w:lineRule="auto"/>
        <w:rPr>
          <w:rFonts w:ascii="IBM Plex Sans" w:eastAsia="Times New Roman" w:hAnsi="IBM Plex Sans" w:cs="Times New Roman"/>
          <w:color w:val="212529"/>
          <w:sz w:val="24"/>
          <w:szCs w:val="24"/>
          <w:lang w:val="bg-BG" w:eastAsia="bg-BG"/>
        </w:rPr>
      </w:pPr>
      <w:r w:rsidRPr="00A106F5">
        <w:rPr>
          <w:rFonts w:ascii="IBM Plex Sans" w:eastAsia="Times New Roman" w:hAnsi="IBM Plex Sans" w:cs="Times New Roman"/>
          <w:color w:val="212529"/>
          <w:sz w:val="24"/>
          <w:szCs w:val="24"/>
          <w:lang w:val="bg-BG" w:eastAsia="bg-BG"/>
        </w:rPr>
        <w:t>МИНИСТЕРСТВО НА ФИНАНСИТЕ</w:t>
      </w:r>
      <w:r w:rsidRPr="00A106F5">
        <w:rPr>
          <w:rFonts w:ascii="IBM Plex Sans" w:eastAsia="Times New Roman" w:hAnsi="IBM Plex Sans" w:cs="Times New Roman"/>
          <w:color w:val="212529"/>
          <w:sz w:val="24"/>
          <w:szCs w:val="24"/>
          <w:lang w:val="bg-BG" w:eastAsia="bg-BG"/>
        </w:rPr>
        <w:br/>
        <w:t>НАЦИОНАЛНА АГЕНЦИЯ ЗА ПРИХОДИТЕ</w:t>
      </w:r>
    </w:p>
    <w:p w14:paraId="4E2F5144" w14:textId="77777777" w:rsidR="00A106F5" w:rsidRPr="00A106F5" w:rsidRDefault="00A106F5" w:rsidP="00A106F5">
      <w:pPr>
        <w:spacing w:after="225" w:line="240" w:lineRule="auto"/>
        <w:rPr>
          <w:rFonts w:ascii="IBM Plex Sans" w:eastAsia="Times New Roman" w:hAnsi="IBM Plex Sans" w:cs="Times New Roman"/>
          <w:color w:val="212529"/>
          <w:sz w:val="24"/>
          <w:szCs w:val="24"/>
          <w:lang w:val="bg-BG" w:eastAsia="bg-BG"/>
        </w:rPr>
      </w:pPr>
      <w:r w:rsidRPr="00A106F5">
        <w:rPr>
          <w:rFonts w:ascii="IBM Plex Sans" w:eastAsia="Times New Roman" w:hAnsi="IBM Plex Sans" w:cs="Times New Roman"/>
          <w:color w:val="212529"/>
          <w:sz w:val="24"/>
          <w:szCs w:val="24"/>
          <w:lang w:val="bg-BG" w:eastAsia="bg-BG"/>
        </w:rPr>
        <w:t>Във връзка с Ваше писмо под горецитирания номер, постъпило в Централно управление на Национална агенция за приходите (НАП) и заведено с вх. № 24-34-90/23.07.2014 г., Ви уведомявам следното:</w:t>
      </w:r>
      <w:r w:rsidRPr="00A106F5">
        <w:rPr>
          <w:rFonts w:ascii="IBM Plex Sans" w:eastAsia="Times New Roman" w:hAnsi="IBM Plex Sans" w:cs="Times New Roman"/>
          <w:color w:val="212529"/>
          <w:sz w:val="24"/>
          <w:szCs w:val="24"/>
          <w:lang w:val="bg-BG" w:eastAsia="bg-BG"/>
        </w:rPr>
        <w:br/>
        <w:t>Казусът се свежда до прилагането на § 1, т. 34 от ДР на ЗКПО при следната фактическа обстановка:</w:t>
      </w:r>
      <w:r w:rsidRPr="00A106F5">
        <w:rPr>
          <w:rFonts w:ascii="IBM Plex Sans" w:eastAsia="Times New Roman" w:hAnsi="IBM Plex Sans" w:cs="Times New Roman"/>
          <w:color w:val="212529"/>
          <w:sz w:val="24"/>
          <w:szCs w:val="24"/>
          <w:lang w:val="bg-BG" w:eastAsia="bg-BG"/>
        </w:rPr>
        <w:br/>
        <w:t>Ваучери за храна на стойност 2 лева на отработен ден са предоставяни на работниците и служителите на база на реално отработени дни в изпълнение на стачно споразумение, сключено след възникнал трудов спор през 2010 г.</w:t>
      </w:r>
      <w:r w:rsidRPr="00A106F5">
        <w:rPr>
          <w:rFonts w:ascii="IBM Plex Sans" w:eastAsia="Times New Roman" w:hAnsi="IBM Plex Sans" w:cs="Times New Roman"/>
          <w:color w:val="212529"/>
          <w:sz w:val="24"/>
          <w:szCs w:val="24"/>
          <w:lang w:val="bg-BG" w:eastAsia="bg-BG"/>
        </w:rPr>
        <w:br/>
        <w:t xml:space="preserve">В съществуващата практика на Национална агенция за приходите се застъпва тезата, че макар и в основата на отношенията по социално-битово и културно обслужване на работниците да стои трудовото правоотношение, те не са в зависимост от престацията на работната сила. Тяхната цел е да обезпечи сфери от ежедневието на работника вън от трудовото правоотношение, но свързани с него, които засягат пряко и непосредствено живота и бита му през времето, когато </w:t>
      </w:r>
      <w:proofErr w:type="spellStart"/>
      <w:r w:rsidRPr="00A106F5">
        <w:rPr>
          <w:rFonts w:ascii="IBM Plex Sans" w:eastAsia="Times New Roman" w:hAnsi="IBM Plex Sans" w:cs="Times New Roman"/>
          <w:color w:val="212529"/>
          <w:sz w:val="24"/>
          <w:szCs w:val="24"/>
          <w:lang w:val="bg-BG" w:eastAsia="bg-BG"/>
        </w:rPr>
        <w:t>престира</w:t>
      </w:r>
      <w:proofErr w:type="spellEnd"/>
      <w:r w:rsidRPr="00A106F5">
        <w:rPr>
          <w:rFonts w:ascii="IBM Plex Sans" w:eastAsia="Times New Roman" w:hAnsi="IBM Plex Sans" w:cs="Times New Roman"/>
          <w:color w:val="212529"/>
          <w:sz w:val="24"/>
          <w:szCs w:val="24"/>
          <w:lang w:val="bg-BG" w:eastAsia="bg-BG"/>
        </w:rPr>
        <w:t xml:space="preserve"> труда си. В този смисъл придобивки, които се предоставят в зависимост от резултатите от положения труд или от отработените дни, са по-скоро фактори за определяне на допълнително трудово стимулиране, а не за разпределение на средствата за социално-битово и културно обслужване.</w:t>
      </w:r>
      <w:r w:rsidRPr="00A106F5">
        <w:rPr>
          <w:rFonts w:ascii="IBM Plex Sans" w:eastAsia="Times New Roman" w:hAnsi="IBM Plex Sans" w:cs="Times New Roman"/>
          <w:color w:val="212529"/>
          <w:sz w:val="24"/>
          <w:szCs w:val="24"/>
          <w:lang w:val="bg-BG" w:eastAsia="bg-BG"/>
        </w:rPr>
        <w:br/>
        <w:t>Следва да се посочи, че така установената практика на НАП е принципна и не изследва в детайли естеството и реда и начина за предоставяне на различните видове социални придобивки в аспекта на критерия за общодостъпност, въведен с § 1, т. 34 от ДР на ЗКПО. Във връзка с това на основание чл. 10, ал. 1, т. 10 от Закона за Националната агенция за приходите в допълнение на така установената практика изразявам следното становище:</w:t>
      </w:r>
      <w:r w:rsidRPr="00A106F5">
        <w:rPr>
          <w:rFonts w:ascii="IBM Plex Sans" w:eastAsia="Times New Roman" w:hAnsi="IBM Plex Sans" w:cs="Times New Roman"/>
          <w:color w:val="212529"/>
          <w:sz w:val="24"/>
          <w:szCs w:val="24"/>
          <w:lang w:val="bg-BG" w:eastAsia="bg-BG"/>
        </w:rPr>
        <w:br/>
        <w:t>При преценката дали даден разход попада в обхвата на § 1, т. 34 от ДР на ЗКПО и по-конкретно дали за дадена социална придобивка е изпълнено изискването за общодостъпност на същата, е необходимо да се анализира следното:</w:t>
      </w:r>
      <w:r w:rsidRPr="00A106F5">
        <w:rPr>
          <w:rFonts w:ascii="IBM Plex Sans" w:eastAsia="Times New Roman" w:hAnsi="IBM Plex Sans" w:cs="Times New Roman"/>
          <w:color w:val="212529"/>
          <w:sz w:val="24"/>
          <w:szCs w:val="24"/>
          <w:lang w:val="bg-BG" w:eastAsia="bg-BG"/>
        </w:rPr>
        <w:br/>
        <w:t>1. Дали съответната придобивка попада сред посочените в чл. 294 от КТ.</w:t>
      </w:r>
      <w:r w:rsidRPr="00A106F5">
        <w:rPr>
          <w:rFonts w:ascii="IBM Plex Sans" w:eastAsia="Times New Roman" w:hAnsi="IBM Plex Sans" w:cs="Times New Roman"/>
          <w:color w:val="212529"/>
          <w:sz w:val="24"/>
          <w:szCs w:val="24"/>
          <w:lang w:val="bg-BG" w:eastAsia="bg-BG"/>
        </w:rPr>
        <w:br/>
        <w:t xml:space="preserve">Естеството на социалните придобивки е едновременно изключително разнообразно и строго конкретно във всеки отделен случай с оглед различните социални потребности. Именно заради това законодателят ги е формулирал общо, като принцип, а не ги е изброявал изчерпателно. Поради това и доколкото т. 7 на чл. 294 от КТ дава широка възможност за предоставяне на други (извън </w:t>
      </w:r>
      <w:r w:rsidRPr="00A106F5">
        <w:rPr>
          <w:rFonts w:ascii="IBM Plex Sans" w:eastAsia="Times New Roman" w:hAnsi="IBM Plex Sans" w:cs="Times New Roman"/>
          <w:color w:val="212529"/>
          <w:sz w:val="24"/>
          <w:szCs w:val="24"/>
          <w:lang w:val="bg-BG" w:eastAsia="bg-BG"/>
        </w:rPr>
        <w:lastRenderedPageBreak/>
        <w:t>посочените в т. 1 – 6 на чл. 294) социални придобивки следва да се установи дали общото събрание на работниците и служителите или работодателят са определили поне сферата, в която ще се предоставя такъв тип социално-битово и културно обслужване. Този въпрос не стои по отношение на ваучерите за храна, защото те са изрично определени като социални разходи, предоставени в натура (чл. 204, т. 2, б. „б“ от ЗКПО).</w:t>
      </w:r>
      <w:r w:rsidRPr="00A106F5">
        <w:rPr>
          <w:rFonts w:ascii="IBM Plex Sans" w:eastAsia="Times New Roman" w:hAnsi="IBM Plex Sans" w:cs="Times New Roman"/>
          <w:color w:val="212529"/>
          <w:sz w:val="24"/>
          <w:szCs w:val="24"/>
          <w:lang w:val="bg-BG" w:eastAsia="bg-BG"/>
        </w:rPr>
        <w:br/>
        <w:t>Именно поради многообразието на видовете социални придобивки е необходима внимателна преценка за изпълнение на критерия за общодостъпност на всеки вид социална придобивка от гледна точка на нейното естество и предназначение.</w:t>
      </w:r>
      <w:r w:rsidRPr="00A106F5">
        <w:rPr>
          <w:rFonts w:ascii="IBM Plex Sans" w:eastAsia="Times New Roman" w:hAnsi="IBM Plex Sans" w:cs="Times New Roman"/>
          <w:color w:val="212529"/>
          <w:sz w:val="24"/>
          <w:szCs w:val="24"/>
          <w:lang w:val="bg-BG" w:eastAsia="bg-BG"/>
        </w:rPr>
        <w:br/>
        <w:t>Например правото за ползване на почивни, спортни или културни бази на предприятието не е логично да се поставя в зависимост от отработените дни, защото то е право по принцип, произтичащо от наличието на трудовото правоотношение. Подобен вид социални придобивки ще изпълняват изискването за общодостъпност, ако всички наети лица могат да се ползват по право от тях. Още повече, такъв тип социални придобивки се ползват именно когато работникът или служителят не е на работа (в отпуск, в извънработно време, в почивни дни), т. е. обвързването на правото на достъп до такива придобивки с отработените за даден период дни, ще е в противоречие с тяхната същност и цел.</w:t>
      </w:r>
      <w:r w:rsidRPr="00A106F5">
        <w:rPr>
          <w:rFonts w:ascii="IBM Plex Sans" w:eastAsia="Times New Roman" w:hAnsi="IBM Plex Sans" w:cs="Times New Roman"/>
          <w:color w:val="212529"/>
          <w:sz w:val="24"/>
          <w:szCs w:val="24"/>
          <w:lang w:val="bg-BG" w:eastAsia="bg-BG"/>
        </w:rPr>
        <w:br/>
        <w:t>Естеството на други видове социални придобивки, например свързани с хранене (</w:t>
      </w:r>
      <w:proofErr w:type="spellStart"/>
      <w:r w:rsidRPr="00A106F5">
        <w:rPr>
          <w:rFonts w:ascii="IBM Plex Sans" w:eastAsia="Times New Roman" w:hAnsi="IBM Plex Sans" w:cs="Times New Roman"/>
          <w:color w:val="212529"/>
          <w:sz w:val="24"/>
          <w:szCs w:val="24"/>
          <w:lang w:val="bg-BG" w:eastAsia="bg-BG"/>
        </w:rPr>
        <w:t>столово</w:t>
      </w:r>
      <w:proofErr w:type="spellEnd"/>
      <w:r w:rsidRPr="00A106F5">
        <w:rPr>
          <w:rFonts w:ascii="IBM Plex Sans" w:eastAsia="Times New Roman" w:hAnsi="IBM Plex Sans" w:cs="Times New Roman"/>
          <w:color w:val="212529"/>
          <w:sz w:val="24"/>
          <w:szCs w:val="24"/>
          <w:lang w:val="bg-BG" w:eastAsia="bg-BG"/>
        </w:rPr>
        <w:t xml:space="preserve"> хранене, купони или ваучери за храна) или с транспортно обслужване от местоживеенето до местоработата и обратно, предполага съответният ползвател да се явява на работа, т.е. тези придобивки биха изпълнили своята цел и ако получаването им е съобразено с отработените дни. Същността на тези придобивки предполага ежедневна потребност от тях, но необходимостта те да бъдат осигурявани от работодателя възниква именно когато наетото лице се явява на работа.</w:t>
      </w:r>
      <w:r w:rsidRPr="00A106F5">
        <w:rPr>
          <w:rFonts w:ascii="IBM Plex Sans" w:eastAsia="Times New Roman" w:hAnsi="IBM Plex Sans" w:cs="Times New Roman"/>
          <w:color w:val="212529"/>
          <w:sz w:val="24"/>
          <w:szCs w:val="24"/>
          <w:lang w:val="bg-BG" w:eastAsia="bg-BG"/>
        </w:rPr>
        <w:br/>
        <w:t>2. Анализ на реда и начина, по които са предоставени съответните придобивки – по реда и начина, предвидени в чл. 293 от КТ, или по ред и начин, определени от ръководството на предприятието.</w:t>
      </w:r>
      <w:r w:rsidRPr="00A106F5">
        <w:rPr>
          <w:rFonts w:ascii="IBM Plex Sans" w:eastAsia="Times New Roman" w:hAnsi="IBM Plex Sans" w:cs="Times New Roman"/>
          <w:color w:val="212529"/>
          <w:sz w:val="24"/>
          <w:szCs w:val="24"/>
          <w:lang w:val="bg-BG" w:eastAsia="bg-BG"/>
        </w:rPr>
        <w:br/>
        <w:t>Видно е, че § 1, т. 34 от ДР на ЗКПО обхваща и двете възможности като алтернативни. Следва да се посочи обаче, че ако дадена социална придобивка не изхожда от волята на работниците и служителите, които фактически са нейни бенефициенти, това е по-скоро отклонение от общоприетия и законоустановен с чл. 293 от КТ принцип. Дадената алтернативна възможност в § 1, т. 34 от ДР на ЗКПО не следва да омаловажава ролята на общото събрание на работниците и служителите при избора на вида и начина на предоставяне на дадена социална придобивка, а напротив, когато такава изразена воля е налице, тя трябва да бъде взета предвид за целите на определяне на съответния разход като социален.</w:t>
      </w:r>
      <w:r w:rsidRPr="00A106F5">
        <w:rPr>
          <w:rFonts w:ascii="IBM Plex Sans" w:eastAsia="Times New Roman" w:hAnsi="IBM Plex Sans" w:cs="Times New Roman"/>
          <w:color w:val="212529"/>
          <w:sz w:val="24"/>
          <w:szCs w:val="24"/>
          <w:lang w:val="bg-BG" w:eastAsia="bg-BG"/>
        </w:rPr>
        <w:br/>
        <w:t xml:space="preserve">В конкретния случай волята на работниците и служителите е изразена посредством постигнато с работодателя стачно споразумение, а не чрез решение на общото събрание на работниците и служителите, но това не променя </w:t>
      </w:r>
      <w:r w:rsidRPr="00A106F5">
        <w:rPr>
          <w:rFonts w:ascii="IBM Plex Sans" w:eastAsia="Times New Roman" w:hAnsi="IBM Plex Sans" w:cs="Times New Roman"/>
          <w:color w:val="212529"/>
          <w:sz w:val="24"/>
          <w:szCs w:val="24"/>
          <w:lang w:val="bg-BG" w:eastAsia="bg-BG"/>
        </w:rPr>
        <w:lastRenderedPageBreak/>
        <w:t>обстоятелството, че видът и начинът на предоставяне на социалната придобивка е в съответствие с волята на работниците и служителите и работодателят се е съгласил да изпълни техните искания.</w:t>
      </w:r>
      <w:r w:rsidRPr="00A106F5">
        <w:rPr>
          <w:rFonts w:ascii="IBM Plex Sans" w:eastAsia="Times New Roman" w:hAnsi="IBM Plex Sans" w:cs="Times New Roman"/>
          <w:color w:val="212529"/>
          <w:sz w:val="24"/>
          <w:szCs w:val="24"/>
          <w:lang w:val="bg-BG" w:eastAsia="bg-BG"/>
        </w:rPr>
        <w:br/>
        <w:t>Следователно обстоятелството, че самите работници и служители са приели, а работодателят се е съгласил, че ваучерите за храна ще се предоставят на база на реално отработените дни (на стойност 2 лева на отработен ден), е показател за общодостъпност на социалната придобивка – тя се предоставя на всички в еднакъв размер (2 лева) и на еднаква база – реално отработени дни.</w:t>
      </w:r>
      <w:r w:rsidRPr="00A106F5">
        <w:rPr>
          <w:rFonts w:ascii="IBM Plex Sans" w:eastAsia="Times New Roman" w:hAnsi="IBM Plex Sans" w:cs="Times New Roman"/>
          <w:color w:val="212529"/>
          <w:sz w:val="24"/>
          <w:szCs w:val="24"/>
          <w:lang w:val="bg-BG" w:eastAsia="bg-BG"/>
        </w:rPr>
        <w:br/>
        <w:t>Този извод е валиден без оглед на формата, чрез която са изразени волята на работниците и служителите и съгласието на работодателя – решение на общото събрание на работниците и служителите и съгласие от работодателя да осигури средства за изпълнението му, колективен трудов договор, в който страните са постигнали съгласие по отношение на социалните придобивки, стачно споразумение или под друга форма. С оглед допуснатите от ЗКПО алтернативни възможности по отношение на реда и начина на предоставяне на социалните придобивки, същественото по отношение на всички изброени форми е, че изискването на § 1, т. 34 от ДР на ЗКПО е изпълнено, доколкото редът и начинът за предоставяне на придобивките са определени или с волеизявление на работниците и служителите или на работодателя, или със съвместно волеизявление на двете страни.</w:t>
      </w:r>
    </w:p>
    <w:p w14:paraId="084D6D0E" w14:textId="77777777" w:rsidR="00A106F5" w:rsidRPr="00A106F5" w:rsidRDefault="00A106F5" w:rsidP="00A106F5">
      <w:pPr>
        <w:spacing w:after="225" w:line="240" w:lineRule="auto"/>
        <w:rPr>
          <w:rFonts w:ascii="IBM Plex Sans" w:eastAsia="Times New Roman" w:hAnsi="IBM Plex Sans" w:cs="Times New Roman"/>
          <w:color w:val="212529"/>
          <w:sz w:val="24"/>
          <w:szCs w:val="24"/>
          <w:lang w:val="bg-BG" w:eastAsia="bg-BG"/>
        </w:rPr>
      </w:pPr>
      <w:r w:rsidRPr="00A106F5">
        <w:rPr>
          <w:rFonts w:ascii="IBM Plex Sans" w:eastAsia="Times New Roman" w:hAnsi="IBM Plex Sans" w:cs="Times New Roman"/>
          <w:color w:val="212529"/>
          <w:sz w:val="24"/>
          <w:szCs w:val="24"/>
          <w:lang w:val="bg-BG" w:eastAsia="bg-BG"/>
        </w:rPr>
        <w:t>ЗАМ.ИЗПЪЛНИТЕЛЕН ДИРЕКТОР НА</w:t>
      </w:r>
      <w:r w:rsidRPr="00A106F5">
        <w:rPr>
          <w:rFonts w:ascii="IBM Plex Sans" w:eastAsia="Times New Roman" w:hAnsi="IBM Plex Sans" w:cs="Times New Roman"/>
          <w:color w:val="212529"/>
          <w:sz w:val="24"/>
          <w:szCs w:val="24"/>
          <w:lang w:val="bg-BG" w:eastAsia="bg-BG"/>
        </w:rPr>
        <w:br/>
        <w:t>НАЦИОНАЛНАТА АГЕНЦИЯ ЗА</w:t>
      </w:r>
      <w:r w:rsidRPr="00A106F5">
        <w:rPr>
          <w:rFonts w:ascii="IBM Plex Sans" w:eastAsia="Times New Roman" w:hAnsi="IBM Plex Sans" w:cs="Times New Roman"/>
          <w:color w:val="212529"/>
          <w:sz w:val="24"/>
          <w:szCs w:val="24"/>
          <w:lang w:val="bg-BG" w:eastAsia="bg-BG"/>
        </w:rPr>
        <w:br/>
        <w:t>ПРИХОДИТЕ:</w:t>
      </w:r>
      <w:r w:rsidRPr="00A106F5">
        <w:rPr>
          <w:rFonts w:ascii="IBM Plex Sans" w:eastAsia="Times New Roman" w:hAnsi="IBM Plex Sans" w:cs="Times New Roman"/>
          <w:color w:val="212529"/>
          <w:sz w:val="24"/>
          <w:szCs w:val="24"/>
          <w:lang w:val="bg-BG" w:eastAsia="bg-BG"/>
        </w:rPr>
        <w:br/>
        <w:t>/ТЕМЕНУЖКА ЯНКОВА/</w:t>
      </w:r>
    </w:p>
    <w:p w14:paraId="2053DBC9"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E4"/>
    <w:rsid w:val="001C71F8"/>
    <w:rsid w:val="002205E4"/>
    <w:rsid w:val="00A106F5"/>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B6D8B-91AE-4704-ACC1-2A1B72C2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06F5"/>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F5"/>
    <w:rPr>
      <w:rFonts w:ascii="Times New Roman" w:eastAsia="Times New Roman" w:hAnsi="Times New Roman" w:cs="Times New Roman"/>
      <w:b/>
      <w:bCs/>
      <w:kern w:val="36"/>
      <w:sz w:val="48"/>
      <w:szCs w:val="48"/>
      <w:lang w:val="bg-BG" w:eastAsia="bg-BG"/>
    </w:rPr>
  </w:style>
  <w:style w:type="paragraph" w:styleId="NormalWeb">
    <w:name w:val="Normal (Web)"/>
    <w:basedOn w:val="Normal"/>
    <w:uiPriority w:val="99"/>
    <w:semiHidden/>
    <w:unhideWhenUsed/>
    <w:rsid w:val="00A106F5"/>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435727">
      <w:bodyDiv w:val="1"/>
      <w:marLeft w:val="0"/>
      <w:marRight w:val="0"/>
      <w:marTop w:val="0"/>
      <w:marBottom w:val="0"/>
      <w:divBdr>
        <w:top w:val="none" w:sz="0" w:space="0" w:color="auto"/>
        <w:left w:val="none" w:sz="0" w:space="0" w:color="auto"/>
        <w:bottom w:val="none" w:sz="0" w:space="0" w:color="auto"/>
        <w:right w:val="none" w:sz="0" w:space="0" w:color="auto"/>
      </w:divBdr>
      <w:divsChild>
        <w:div w:id="63021454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2</cp:revision>
  <dcterms:created xsi:type="dcterms:W3CDTF">2022-01-15T19:15:00Z</dcterms:created>
  <dcterms:modified xsi:type="dcterms:W3CDTF">2022-01-15T19:15:00Z</dcterms:modified>
</cp:coreProperties>
</file>